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8E" w:rsidRPr="00E6032F" w:rsidRDefault="00C75F8E" w:rsidP="00E6032F">
      <w:pPr>
        <w:pStyle w:val="2"/>
        <w:spacing w:before="0"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E6032F">
        <w:rPr>
          <w:rFonts w:ascii="Times New Roman" w:hAnsi="Times New Roman"/>
          <w:b/>
          <w:color w:val="333333"/>
          <w:sz w:val="24"/>
          <w:szCs w:val="24"/>
        </w:rPr>
        <w:t>Правильщик проката и труб на правильных агрегатах. (3 уровень квалификации)</w:t>
      </w:r>
    </w:p>
    <w:p w:rsidR="00B4709E" w:rsidRPr="00E6032F" w:rsidRDefault="00A31C55" w:rsidP="00E6032F">
      <w:pPr>
        <w:spacing w:after="0" w:line="240" w:lineRule="auto"/>
        <w:jc w:val="center"/>
        <w:outlineLvl w:val="1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E6032F">
        <w:rPr>
          <w:rStyle w:val="resultitem-key"/>
          <w:rFonts w:ascii="Times New Roman" w:hAnsi="Times New Roman" w:cs="Times New Roman"/>
          <w:sz w:val="24"/>
          <w:szCs w:val="24"/>
        </w:rPr>
        <w:t>(</w:t>
      </w:r>
      <w:r w:rsidR="00B4709E" w:rsidRPr="00E6032F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B43FE7" w:rsidRPr="00E6032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888.Правильщик проката и труб</w:t>
        </w:r>
      </w:hyperlink>
      <w:r w:rsidRPr="00E6032F">
        <w:rPr>
          <w:rStyle w:val="a5"/>
          <w:rFonts w:ascii="Times New Roman" w:hAnsi="Times New Roman" w:cs="Times New Roman"/>
          <w:color w:val="auto"/>
          <w:sz w:val="24"/>
          <w:szCs w:val="24"/>
        </w:rPr>
        <w:t>)</w:t>
      </w:r>
    </w:p>
    <w:p w:rsidR="00A31C55" w:rsidRPr="00E6032F" w:rsidRDefault="00A31C55" w:rsidP="00E603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C75F8E" w:rsidRPr="00E6032F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E6032F" w:rsidRDefault="00E6032F" w:rsidP="00E6032F">
            <w:pPr>
              <w:pStyle w:val="a3"/>
              <w:spacing w:after="0"/>
              <w:rPr>
                <w:b/>
              </w:rPr>
            </w:pPr>
            <w:r w:rsidRPr="00E6032F">
              <w:rPr>
                <w:b/>
                <w:color w:val="333333"/>
              </w:rPr>
              <w:t xml:space="preserve">1. </w:t>
            </w:r>
            <w:r w:rsidR="00C75F8E" w:rsidRPr="00E6032F">
              <w:rPr>
                <w:color w:val="333333"/>
              </w:rPr>
              <w:t>Материально-техническое обеспечение</w:t>
            </w:r>
            <w:r w:rsidRPr="00E6032F">
              <w:rPr>
                <w:color w:val="333333"/>
              </w:rPr>
              <w:t>, необходимое для проведения</w:t>
            </w:r>
            <w:r w:rsidR="00C75F8E" w:rsidRPr="00E6032F">
              <w:rPr>
                <w:color w:val="333333"/>
              </w:rPr>
              <w:t xml:space="preserve"> оценочных мероприятий:</w:t>
            </w:r>
          </w:p>
          <w:p w:rsidR="00C75F8E" w:rsidRPr="00E6032F" w:rsidRDefault="00E6032F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а) материально</w:t>
            </w:r>
            <w:r w:rsidR="00C75F8E" w:rsidRPr="00E6032F">
              <w:rPr>
                <w:color w:val="333333"/>
              </w:rPr>
              <w:t>-</w:t>
            </w:r>
            <w:r w:rsidRPr="00E6032F">
              <w:rPr>
                <w:color w:val="333333"/>
              </w:rPr>
              <w:t>технические ресурсы для обеспечения</w:t>
            </w:r>
            <w:r w:rsidR="00C75F8E" w:rsidRPr="00E6032F">
              <w:rPr>
                <w:color w:val="333333"/>
              </w:rPr>
              <w:t xml:space="preserve"> теоретического этапа профессионального экзамена: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учебная аудитория, оснащенная персональными компьютерами с установленным программным обеспечением для прохождения теоретического этапа экзамена и рабочими местами (парты, стулья).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методические материалы в бумажном или электронном вариантах.           </w:t>
            </w:r>
          </w:p>
          <w:p w:rsidR="00C75F8E" w:rsidRPr="00E6032F" w:rsidRDefault="00E6032F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б) материально</w:t>
            </w:r>
            <w:r w:rsidR="00C75F8E" w:rsidRPr="00E6032F">
              <w:rPr>
                <w:color w:val="333333"/>
              </w:rPr>
              <w:t>-</w:t>
            </w:r>
            <w:r w:rsidRPr="00E6032F">
              <w:rPr>
                <w:color w:val="333333"/>
              </w:rPr>
              <w:t>технические ресурсы для обеспечения практического</w:t>
            </w:r>
            <w:r w:rsidR="00C75F8E" w:rsidRPr="00E6032F">
              <w:rPr>
                <w:color w:val="333333"/>
              </w:rPr>
              <w:t xml:space="preserve"> этапа профессионального экзамена: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правильная машина или имитационный тренажер;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комплект контрольно-измерительных инструментов;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комплект трубных заготовок;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шаблон для контроля выработки валков;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аттестованный контрольный образец;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комплект средств индивидуальной защиты;</w:t>
            </w:r>
          </w:p>
          <w:p w:rsidR="00C75F8E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– комплект технологической документации.</w:t>
            </w:r>
          </w:p>
          <w:p w:rsidR="00E6032F" w:rsidRPr="00E6032F" w:rsidRDefault="00E6032F" w:rsidP="00E6032F">
            <w:pPr>
              <w:pStyle w:val="a3"/>
              <w:spacing w:after="0"/>
              <w:rPr>
                <w:color w:val="333333"/>
              </w:rPr>
            </w:pPr>
          </w:p>
          <w:p w:rsidR="00C75F8E" w:rsidRPr="00E6032F" w:rsidRDefault="00C75F8E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75F8E" w:rsidRPr="00E6032F" w:rsidTr="00E6032F">
        <w:trPr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E6032F" w:rsidRDefault="00E6032F" w:rsidP="00E6032F">
            <w:pPr>
              <w:pStyle w:val="a3"/>
              <w:spacing w:after="0"/>
              <w:rPr>
                <w:b/>
              </w:rPr>
            </w:pPr>
            <w:r w:rsidRPr="00E6032F">
              <w:rPr>
                <w:b/>
                <w:color w:val="333333"/>
              </w:rPr>
              <w:t xml:space="preserve">2. </w:t>
            </w:r>
            <w:r w:rsidR="00C75F8E" w:rsidRPr="00E6032F">
              <w:rPr>
                <w:color w:val="333333"/>
              </w:rPr>
              <w:t>Кадровое обеспечение</w:t>
            </w:r>
            <w:r w:rsidRPr="00E6032F">
              <w:rPr>
                <w:color w:val="333333"/>
              </w:rPr>
              <w:t>, необходимое для проведения</w:t>
            </w:r>
            <w:r w:rsidR="00C75F8E" w:rsidRPr="00E6032F">
              <w:rPr>
                <w:color w:val="333333"/>
              </w:rPr>
              <w:t xml:space="preserve"> оценочных мероприятий: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Состав квалификационной комиссии - не менее 3-х человек.</w:t>
            </w:r>
          </w:p>
          <w:p w:rsidR="00C75F8E" w:rsidRPr="00E6032F" w:rsidRDefault="00C75F8E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Требования к экспертам квалификационной комиссии:</w:t>
            </w:r>
          </w:p>
          <w:p w:rsidR="00C75F8E" w:rsidRP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реднее профессиональное образование (техническое)</w:t>
            </w:r>
          </w:p>
          <w:p w:rsidR="00C75F8E" w:rsidRP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пыт работы на правильных машинах не менее 5-ти лет, уровень квалификации не ниже 4-го</w:t>
            </w:r>
          </w:p>
          <w:p w:rsidR="00C75F8E" w:rsidRP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бучение по дополнительным профессиональным программам, обеспечивающим освоение:</w:t>
            </w:r>
          </w:p>
          <w:p w:rsidR="00C75F8E" w:rsidRPr="00E6032F" w:rsidRDefault="00E6032F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 xml:space="preserve">- </w:t>
            </w:r>
            <w:r w:rsidR="00C75F8E" w:rsidRPr="00E6032F">
              <w:rPr>
                <w:color w:val="333333"/>
              </w:rPr>
              <w:t>знаний:</w:t>
            </w:r>
          </w:p>
          <w:p w:rsidR="00C75F8E" w:rsidRPr="00E6032F" w:rsidRDefault="00C75F8E" w:rsidP="00E6032F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нормативно-правовых актов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C75F8E" w:rsidRPr="00E6032F" w:rsidRDefault="00C75F8E" w:rsidP="00E6032F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нормативные правовые акты, регулирующие деятельности в области правки проката и труб;</w:t>
            </w:r>
          </w:p>
          <w:p w:rsidR="00C75F8E" w:rsidRPr="00E6032F" w:rsidRDefault="00C75F8E" w:rsidP="00E6032F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C75F8E" w:rsidRPr="00E6032F" w:rsidRDefault="00C75F8E" w:rsidP="00E6032F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C75F8E" w:rsidRPr="00E6032F" w:rsidRDefault="00C75F8E" w:rsidP="00E6032F">
            <w:pPr>
              <w:numPr>
                <w:ilvl w:val="0"/>
                <w:numId w:val="2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C75F8E" w:rsidRPr="00E6032F" w:rsidRDefault="00E6032F" w:rsidP="00E6032F">
            <w:pPr>
              <w:pStyle w:val="a3"/>
              <w:spacing w:after="0"/>
              <w:rPr>
                <w:color w:val="333333"/>
              </w:rPr>
            </w:pPr>
            <w:r w:rsidRPr="00E6032F">
              <w:rPr>
                <w:color w:val="333333"/>
              </w:rPr>
              <w:t>-</w:t>
            </w:r>
            <w:r w:rsidR="00C75F8E" w:rsidRPr="00E6032F">
              <w:rPr>
                <w:color w:val="333333"/>
              </w:rPr>
              <w:t xml:space="preserve"> умений: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оценочные средства;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вести наблюдение за ходом профессионального экзамена;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C75F8E" w:rsidRPr="00E6032F" w:rsidRDefault="00C75F8E" w:rsidP="00E6032F">
            <w:pPr>
              <w:numPr>
                <w:ilvl w:val="0"/>
                <w:numId w:val="2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</w:t>
            </w:r>
          </w:p>
          <w:p w:rsidR="00E6032F" w:rsidRDefault="00E6032F" w:rsidP="00E6032F">
            <w:pPr>
              <w:spacing w:after="0" w:line="240" w:lineRule="auto"/>
              <w:ind w:left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75F8E" w:rsidRP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Подтверждение квалификации эксперта со стороны Совета по профессиональным 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квалификациям (при наличии) - не менее 2-х человек</w:t>
            </w:r>
          </w:p>
          <w:p w:rsid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75F8E" w:rsidRPr="00E6032F" w:rsidRDefault="00E6032F" w:rsidP="00E6032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032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</w:t>
            </w:r>
            <w:r w:rsidR="00C75F8E" w:rsidRPr="00E603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Отсутствие ситуации конфликта интереса в отношении конкретных соискателей</w:t>
            </w:r>
          </w:p>
        </w:tc>
      </w:tr>
    </w:tbl>
    <w:p w:rsidR="00B4709E" w:rsidRPr="00E6032F" w:rsidRDefault="00B4709E" w:rsidP="00E60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E6032F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E6032F" w:rsidRDefault="00B4709E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6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Default="00B4709E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0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 соискателя - не моложе 18 лет</w:t>
            </w:r>
          </w:p>
          <w:p w:rsidR="00E6032F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6032F" w:rsidRPr="00E6032F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E6032F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E6032F" w:rsidRDefault="000C3B8B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6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E6032F" w:rsidRPr="00E6032F" w:rsidRDefault="00E6032F" w:rsidP="00E603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B4709E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Удостоверение стропальщика</w:t>
            </w:r>
          </w:p>
          <w:p w:rsidR="00E6032F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32F" w:rsidRPr="00E6032F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8F2294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8F2294" w:rsidRDefault="00B4709E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22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 действия свидетельства</w:t>
            </w:r>
            <w:r w:rsidRPr="008F2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3 года</w:t>
            </w:r>
          </w:p>
          <w:p w:rsidR="00E6032F" w:rsidRPr="008F2294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6032F" w:rsidRPr="008F2294" w:rsidRDefault="00E6032F" w:rsidP="00E6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353A8" w:rsidRPr="008F2294" w:rsidRDefault="00A353A8" w:rsidP="00E60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</w:t>
      </w:r>
      <w:r w:rsidR="00E6032F" w:rsidRPr="008F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8F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площадк</w:t>
      </w:r>
      <w:r w:rsidR="00E6032F" w:rsidRPr="008F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F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353A8" w:rsidRPr="00E6032F" w:rsidRDefault="008F2294" w:rsidP="00E60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E6032F" w:rsidRPr="008F22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Ростовская</w:t>
        </w:r>
      </w:hyperlink>
      <w:r w:rsidR="00E6032F" w:rsidRPr="008F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Таганрог, ул. Заводская 1</w:t>
      </w:r>
    </w:p>
    <w:sectPr w:rsidR="00A353A8" w:rsidRPr="00E6032F" w:rsidSect="00A31C55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4"/>
  </w:num>
  <w:num w:numId="5">
    <w:abstractNumId w:val="23"/>
  </w:num>
  <w:num w:numId="6">
    <w:abstractNumId w:val="24"/>
  </w:num>
  <w:num w:numId="7">
    <w:abstractNumId w:val="13"/>
  </w:num>
  <w:num w:numId="8">
    <w:abstractNumId w:val="18"/>
  </w:num>
  <w:num w:numId="9">
    <w:abstractNumId w:val="12"/>
  </w:num>
  <w:num w:numId="10">
    <w:abstractNumId w:val="25"/>
  </w:num>
  <w:num w:numId="11">
    <w:abstractNumId w:val="3"/>
  </w:num>
  <w:num w:numId="12">
    <w:abstractNumId w:val="21"/>
  </w:num>
  <w:num w:numId="13">
    <w:abstractNumId w:val="0"/>
  </w:num>
  <w:num w:numId="14">
    <w:abstractNumId w:val="22"/>
  </w:num>
  <w:num w:numId="15">
    <w:abstractNumId w:val="7"/>
  </w:num>
  <w:num w:numId="16">
    <w:abstractNumId w:val="17"/>
  </w:num>
  <w:num w:numId="17">
    <w:abstractNumId w:val="15"/>
  </w:num>
  <w:num w:numId="18">
    <w:abstractNumId w:val="10"/>
  </w:num>
  <w:num w:numId="19">
    <w:abstractNumId w:val="5"/>
  </w:num>
  <w:num w:numId="20">
    <w:abstractNumId w:val="1"/>
  </w:num>
  <w:num w:numId="21">
    <w:abstractNumId w:val="11"/>
  </w:num>
  <w:num w:numId="22">
    <w:abstractNumId w:val="19"/>
  </w:num>
  <w:num w:numId="23">
    <w:abstractNumId w:val="8"/>
  </w:num>
  <w:num w:numId="24">
    <w:abstractNumId w:val="16"/>
  </w:num>
  <w:num w:numId="25">
    <w:abstractNumId w:val="26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A3"/>
    <w:rsid w:val="000C3B8B"/>
    <w:rsid w:val="002406A6"/>
    <w:rsid w:val="003612A1"/>
    <w:rsid w:val="006E2A8D"/>
    <w:rsid w:val="00854631"/>
    <w:rsid w:val="008F2294"/>
    <w:rsid w:val="009647A3"/>
    <w:rsid w:val="00A31C55"/>
    <w:rsid w:val="00A353A8"/>
    <w:rsid w:val="00A73CEC"/>
    <w:rsid w:val="00B43FE7"/>
    <w:rsid w:val="00B4709E"/>
    <w:rsid w:val="00C75F8E"/>
    <w:rsid w:val="00DA2BD1"/>
    <w:rsid w:val="00E6032F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4E16-3021-44F7-9B0A-C0F55779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-nark.ru/platform/detail/66.012.66.01" TargetMode="Externa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F%D1%80%D0%B0%D0%B2%D0%B8%D0%BB%D1%8C%D1%89%D0%B8%D0%BA+%D0%BF%D1%80%D0%BE%D0%BA%D0%B0%D1%82%D0%B0+%D0%B8+%D1%82%D1%80%D1%83%D0%B1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6</cp:revision>
  <dcterms:created xsi:type="dcterms:W3CDTF">2019-02-04T04:05:00Z</dcterms:created>
  <dcterms:modified xsi:type="dcterms:W3CDTF">2022-10-12T09:47:00Z</dcterms:modified>
</cp:coreProperties>
</file>